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8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824"/>
      </w:tblGrid>
      <w:tr w:rsidR="00E8562A" w:rsidRPr="00E139C9" w:rsidTr="00916B82">
        <w:trPr>
          <w:trHeight w:val="468"/>
        </w:trPr>
        <w:tc>
          <w:tcPr>
            <w:tcW w:w="9824" w:type="dxa"/>
            <w:tcBorders>
              <w:bottom w:val="nil"/>
            </w:tcBorders>
            <w:tcMar>
              <w:bottom w:w="170" w:type="dxa"/>
            </w:tcMar>
          </w:tcPr>
          <w:p w:rsidR="00E8562A" w:rsidRPr="003778F5" w:rsidRDefault="00E8562A" w:rsidP="00E139C9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Italics" w:hAnsi="Italics" w:cs="Times New Roman"/>
                <w:lang w:val="en-US"/>
              </w:rPr>
            </w:pPr>
            <w:r>
              <w:rPr>
                <w:rFonts w:ascii="Italics" w:hAnsi="Italics" w:cs="Times New Roman"/>
                <w:b/>
                <w:lang w:val="en-US"/>
              </w:rPr>
              <w:t>Table S2</w:t>
            </w:r>
            <w:r w:rsidRPr="003778F5">
              <w:rPr>
                <w:rFonts w:ascii="Italics" w:hAnsi="Italics" w:cs="Times New Roman"/>
                <w:b/>
                <w:lang w:val="en-US"/>
              </w:rPr>
              <w:t xml:space="preserve">    </w:t>
            </w:r>
            <w:r w:rsidRPr="003778F5">
              <w:rPr>
                <w:rFonts w:ascii="Italics" w:hAnsi="Italics" w:cs="Times New Roman"/>
                <w:lang w:val="en-US"/>
              </w:rPr>
              <w:t>Immune-histochemical results and statistical analyses of AR considered as continuous</w:t>
            </w:r>
            <w:r w:rsidR="00E139C9">
              <w:rPr>
                <w:rFonts w:ascii="Italics" w:hAnsi="Italics" w:cs="Times New Roman"/>
                <w:lang w:val="en-US"/>
              </w:rPr>
              <w:t xml:space="preserve"> variable: comparisons of both c</w:t>
            </w:r>
            <w:r w:rsidRPr="003778F5">
              <w:rPr>
                <w:rFonts w:ascii="Italics" w:hAnsi="Italics" w:cs="Times New Roman"/>
                <w:lang w:val="en-US"/>
              </w:rPr>
              <w:t xml:space="preserve">ases </w:t>
            </w:r>
            <w:r w:rsidRPr="003778F5">
              <w:rPr>
                <w:rFonts w:ascii="Italics" w:hAnsi="Italics" w:cs="Times New Roman"/>
                <w:i/>
                <w:lang w:val="en-US"/>
              </w:rPr>
              <w:t>vs</w:t>
            </w:r>
            <w:r w:rsidRPr="003778F5">
              <w:rPr>
                <w:rFonts w:ascii="Italics" w:hAnsi="Italics" w:cs="Times New Roman"/>
                <w:lang w:val="en-US"/>
              </w:rPr>
              <w:t xml:space="preserve"> </w:t>
            </w:r>
            <w:r w:rsidR="00E139C9">
              <w:rPr>
                <w:rFonts w:ascii="Italics" w:hAnsi="Italics" w:cs="Times New Roman"/>
                <w:lang w:val="en-US"/>
              </w:rPr>
              <w:t>c</w:t>
            </w:r>
            <w:r w:rsidRPr="003778F5">
              <w:rPr>
                <w:rFonts w:ascii="Italics" w:hAnsi="Italics" w:cs="Times New Roman"/>
                <w:lang w:val="en-US"/>
              </w:rPr>
              <w:t xml:space="preserve">ontrols and primary </w:t>
            </w:r>
            <w:r w:rsidRPr="003778F5">
              <w:rPr>
                <w:rFonts w:ascii="Italics" w:hAnsi="Italics" w:cs="Times New Roman"/>
                <w:i/>
                <w:lang w:val="en-US"/>
              </w:rPr>
              <w:t>vs</w:t>
            </w:r>
            <w:r w:rsidRPr="003778F5">
              <w:rPr>
                <w:rFonts w:ascii="Italics" w:hAnsi="Italics" w:cs="Times New Roman"/>
                <w:lang w:val="en-US"/>
              </w:rPr>
              <w:t xml:space="preserve"> metastatic lesions </w:t>
            </w:r>
          </w:p>
        </w:tc>
      </w:tr>
      <w:tr w:rsidR="00E8562A" w:rsidRPr="003778F5" w:rsidTr="00916B82">
        <w:trPr>
          <w:trHeight w:val="2428"/>
        </w:trPr>
        <w:tc>
          <w:tcPr>
            <w:tcW w:w="9824" w:type="dxa"/>
            <w:tcBorders>
              <w:top w:val="nil"/>
              <w:bottom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tbl>
            <w:tblPr>
              <w:tblStyle w:val="Grigliatabella"/>
              <w:tblpPr w:leftFromText="141" w:rightFromText="141" w:vertAnchor="text" w:horzAnchor="margin" w:tblpY="109"/>
              <w:tblOverlap w:val="never"/>
              <w:tblW w:w="9452" w:type="dxa"/>
              <w:tblBorders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142"/>
              <w:gridCol w:w="1951"/>
              <w:gridCol w:w="34"/>
              <w:gridCol w:w="741"/>
              <w:gridCol w:w="1437"/>
              <w:gridCol w:w="1554"/>
              <w:gridCol w:w="1166"/>
              <w:gridCol w:w="1293"/>
            </w:tblGrid>
            <w:tr w:rsidR="00E8562A" w:rsidRPr="003778F5" w:rsidTr="00916B82">
              <w:trPr>
                <w:trHeight w:val="1090"/>
              </w:trPr>
              <w:tc>
                <w:tcPr>
                  <w:tcW w:w="1276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tcMar>
                    <w:top w:w="85" w:type="dxa"/>
                    <w:bottom w:w="85" w:type="dxa"/>
                  </w:tcMar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IHC parameter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139C9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>
                    <w:rPr>
                      <w:rFonts w:ascii="Italics" w:hAnsi="Italics" w:cs="Times New Roman"/>
                      <w:b/>
                      <w:lang w:val="en-US"/>
                    </w:rPr>
                    <w:t>Cases vs c</w:t>
                  </w:r>
                  <w:bookmarkStart w:id="0" w:name="_GoBack"/>
                  <w:bookmarkEnd w:id="0"/>
                  <w:r w:rsidR="00E8562A" w:rsidRPr="003778F5">
                    <w:rPr>
                      <w:rFonts w:ascii="Italics" w:hAnsi="Italics" w:cs="Times New Roman"/>
                      <w:b/>
                      <w:lang w:val="en-US"/>
                    </w:rPr>
                    <w:t xml:space="preserve">ontrols // </w:t>
                  </w:r>
                  <w:r w:rsidR="00E8562A"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 xml:space="preserve">primary vs metastatic lesions </w:t>
                  </w:r>
                  <w:r w:rsidR="00E8562A"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(%)</w:t>
                  </w:r>
                </w:p>
              </w:tc>
              <w:tc>
                <w:tcPr>
                  <w:tcW w:w="741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N</w:t>
                  </w:r>
                </w:p>
              </w:tc>
              <w:tc>
                <w:tcPr>
                  <w:tcW w:w="1437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Mean</w:t>
                  </w: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(%)</w:t>
                  </w:r>
                </w:p>
              </w:tc>
              <w:tc>
                <w:tcPr>
                  <w:tcW w:w="1554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Median (%)</w:t>
                  </w:r>
                </w:p>
              </w:tc>
              <w:tc>
                <w:tcPr>
                  <w:tcW w:w="1166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Range</w:t>
                  </w:r>
                </w:p>
              </w:tc>
              <w:tc>
                <w:tcPr>
                  <w:tcW w:w="1293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p Value</w:t>
                  </w: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</w: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tcBorders>
                    <w:top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437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54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293" w:type="dxa"/>
                  <w:tcBorders>
                    <w:top w:val="nil"/>
                  </w:tcBorders>
                  <w:vAlign w:val="center"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vMerge w:val="restart"/>
                  <w:tcBorders>
                    <w:top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AR</w:t>
                  </w: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Cases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39</w:t>
                  </w:r>
                </w:p>
              </w:tc>
              <w:tc>
                <w:tcPr>
                  <w:tcW w:w="1437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14.15</w:t>
                  </w:r>
                </w:p>
              </w:tc>
              <w:tc>
                <w:tcPr>
                  <w:tcW w:w="1554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5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0 - 70</w:t>
                  </w:r>
                </w:p>
              </w:tc>
              <w:tc>
                <w:tcPr>
                  <w:tcW w:w="1293" w:type="dxa"/>
                  <w:vMerge w:val="restart"/>
                  <w:tcBorders>
                    <w:top w:val="nil"/>
                  </w:tcBorders>
                  <w:vAlign w:val="center"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&lt; 0.001</w:t>
                  </w: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vMerge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Controls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40</w:t>
                  </w:r>
                </w:p>
              </w:tc>
              <w:tc>
                <w:tcPr>
                  <w:tcW w:w="1437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42.05</w:t>
                  </w:r>
                </w:p>
              </w:tc>
              <w:tc>
                <w:tcPr>
                  <w:tcW w:w="1554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37.5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0 - 95</w:t>
                  </w:r>
                </w:p>
              </w:tc>
              <w:tc>
                <w:tcPr>
                  <w:tcW w:w="1293" w:type="dxa"/>
                  <w:vMerge/>
                  <w:tcBorders>
                    <w:bottom w:val="nil"/>
                  </w:tcBorders>
                  <w:vAlign w:val="center"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vMerge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Primary tumor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24</w:t>
                  </w:r>
                </w:p>
              </w:tc>
              <w:tc>
                <w:tcPr>
                  <w:tcW w:w="1437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12.70</w:t>
                  </w:r>
                </w:p>
              </w:tc>
              <w:tc>
                <w:tcPr>
                  <w:tcW w:w="1554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2.5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0 - 70</w:t>
                  </w:r>
                </w:p>
              </w:tc>
              <w:tc>
                <w:tcPr>
                  <w:tcW w:w="1293" w:type="dxa"/>
                  <w:vMerge w:val="restart"/>
                  <w:tcBorders>
                    <w:top w:val="nil"/>
                  </w:tcBorders>
                  <w:vAlign w:val="center"/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0.270</w:t>
                  </w: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vMerge/>
                  <w:tcBorders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Brain metastasis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24</w:t>
                  </w:r>
                </w:p>
              </w:tc>
              <w:tc>
                <w:tcPr>
                  <w:tcW w:w="1437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9.25</w:t>
                  </w:r>
                </w:p>
              </w:tc>
              <w:tc>
                <w:tcPr>
                  <w:tcW w:w="1554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0 - 60</w:t>
                  </w:r>
                </w:p>
              </w:tc>
              <w:tc>
                <w:tcPr>
                  <w:tcW w:w="1293" w:type="dxa"/>
                  <w:vMerge/>
                  <w:tcBorders>
                    <w:bottom w:val="nil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E8562A" w:rsidRPr="003778F5" w:rsidTr="00916B82">
              <w:trPr>
                <w:trHeight w:val="302"/>
              </w:trPr>
              <w:tc>
                <w:tcPr>
                  <w:tcW w:w="1134" w:type="dxa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2093" w:type="dxa"/>
                  <w:gridSpan w:val="2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437" w:type="dxa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54" w:type="dxa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293" w:type="dxa"/>
                  <w:tcBorders>
                    <w:top w:val="nil"/>
                    <w:bottom w:val="single" w:sz="18" w:space="0" w:color="auto"/>
                  </w:tcBorders>
                </w:tcPr>
                <w:p w:rsidR="00E8562A" w:rsidRPr="003778F5" w:rsidRDefault="00E8562A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</w:tbl>
          <w:p w:rsidR="00E8562A" w:rsidRPr="003778F5" w:rsidRDefault="00E8562A" w:rsidP="00916B82">
            <w:pPr>
              <w:jc w:val="both"/>
              <w:rPr>
                <w:rFonts w:ascii="Italics" w:hAnsi="Italics" w:cs="Times New Roman"/>
                <w:lang w:val="en-US"/>
              </w:rPr>
            </w:pPr>
          </w:p>
        </w:tc>
      </w:tr>
      <w:tr w:rsidR="00E8562A" w:rsidRPr="003778F5" w:rsidTr="00916B82">
        <w:trPr>
          <w:trHeight w:val="202"/>
        </w:trPr>
        <w:tc>
          <w:tcPr>
            <w:tcW w:w="9824" w:type="dxa"/>
            <w:tcBorders>
              <w:top w:val="nil"/>
            </w:tcBorders>
            <w:tcMar>
              <w:top w:w="170" w:type="dxa"/>
            </w:tcMar>
          </w:tcPr>
          <w:p w:rsidR="00E8562A" w:rsidRPr="003778F5" w:rsidRDefault="00E8562A" w:rsidP="00916B82">
            <w:pPr>
              <w:jc w:val="both"/>
              <w:rPr>
                <w:rFonts w:ascii="Italics" w:hAnsi="Italics" w:cs="Times New Roman"/>
                <w:sz w:val="20"/>
                <w:szCs w:val="20"/>
                <w:lang w:val="en-US"/>
              </w:rPr>
            </w:pPr>
            <w:r w:rsidRPr="003778F5">
              <w:rPr>
                <w:rFonts w:ascii="Italics" w:hAnsi="Italics" w:cs="Times New Roman"/>
                <w:sz w:val="20"/>
                <w:szCs w:val="20"/>
                <w:lang w:val="en-US"/>
              </w:rPr>
              <w:t>AR: Androgen Receptor</w:t>
            </w:r>
          </w:p>
        </w:tc>
      </w:tr>
    </w:tbl>
    <w:p w:rsidR="00A40CB8" w:rsidRDefault="00E139C9"/>
    <w:sectPr w:rsidR="00A40C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alic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0DC"/>
    <w:rsid w:val="005050DC"/>
    <w:rsid w:val="00A16AB2"/>
    <w:rsid w:val="00E139C9"/>
    <w:rsid w:val="00E8562A"/>
    <w:rsid w:val="00ED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562A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562A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562A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562A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>Hewlett-Packard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scotto</dc:creator>
  <cp:keywords/>
  <dc:description/>
  <cp:lastModifiedBy>giulia scotto</cp:lastModifiedBy>
  <cp:revision>3</cp:revision>
  <dcterms:created xsi:type="dcterms:W3CDTF">2020-02-22T13:30:00Z</dcterms:created>
  <dcterms:modified xsi:type="dcterms:W3CDTF">2020-02-22T21:13:00Z</dcterms:modified>
</cp:coreProperties>
</file>